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2409"/>
        <w:gridCol w:w="2262"/>
      </w:tblGrid>
      <w:tr w:rsidR="005211CE" w14:paraId="5306A707" w14:textId="77777777" w:rsidTr="005211CE">
        <w:trPr>
          <w:trHeight w:val="845"/>
        </w:trPr>
        <w:tc>
          <w:tcPr>
            <w:tcW w:w="2689" w:type="dxa"/>
            <w:gridSpan w:val="2"/>
            <w:vAlign w:val="center"/>
          </w:tcPr>
          <w:p w14:paraId="54320C82" w14:textId="77777777" w:rsidR="005211CE" w:rsidRDefault="005211CE" w:rsidP="005211CE">
            <w:pPr>
              <w:jc w:val="center"/>
            </w:pPr>
            <w:bookmarkStart w:id="0" w:name="_GoBack"/>
            <w:bookmarkEnd w:id="0"/>
            <w:r w:rsidRPr="00A851BC">
              <w:rPr>
                <w:rFonts w:ascii="Calibri" w:hAnsi="Calibri" w:cs="Calibri"/>
                <w:b/>
                <w:sz w:val="40"/>
                <w:szCs w:val="24"/>
              </w:rPr>
              <w:t>ABC</w:t>
            </w:r>
            <w:r>
              <w:rPr>
                <w:rFonts w:ascii="Calibri" w:hAnsi="Calibri" w:cs="Calibri"/>
                <w:b/>
                <w:sz w:val="40"/>
                <w:szCs w:val="24"/>
              </w:rPr>
              <w:t>-modellen</w:t>
            </w:r>
          </w:p>
        </w:tc>
        <w:tc>
          <w:tcPr>
            <w:tcW w:w="2268" w:type="dxa"/>
            <w:vAlign w:val="center"/>
          </w:tcPr>
          <w:p w14:paraId="1F16AE4C" w14:textId="77777777" w:rsidR="005211CE" w:rsidRPr="005211CE" w:rsidRDefault="005211CE" w:rsidP="005211CE">
            <w:pPr>
              <w:pStyle w:val="Body1"/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5211CE">
              <w:rPr>
                <w:rFonts w:ascii="Calibri" w:hAnsi="Calibri" w:cs="Calibri"/>
                <w:b/>
                <w:sz w:val="22"/>
                <w:szCs w:val="24"/>
              </w:rPr>
              <w:t>A</w:t>
            </w:r>
          </w:p>
          <w:p w14:paraId="44294FA2" w14:textId="77777777" w:rsidR="005211CE" w:rsidRDefault="005211CE" w:rsidP="005211CE">
            <w:pPr>
              <w:jc w:val="center"/>
            </w:pPr>
            <w:r w:rsidRPr="005211CE">
              <w:rPr>
                <w:rFonts w:ascii="Calibri" w:hAnsi="Calibri" w:cs="Calibri"/>
                <w:b/>
                <w:szCs w:val="24"/>
              </w:rPr>
              <w:t>Viden og forståelse</w:t>
            </w:r>
          </w:p>
        </w:tc>
        <w:tc>
          <w:tcPr>
            <w:tcW w:w="2409" w:type="dxa"/>
            <w:vAlign w:val="center"/>
          </w:tcPr>
          <w:p w14:paraId="7FE0D243" w14:textId="77777777" w:rsidR="005211CE" w:rsidRPr="005211CE" w:rsidRDefault="005211CE" w:rsidP="005211CE">
            <w:pPr>
              <w:pStyle w:val="Body1"/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5211CE">
              <w:rPr>
                <w:rFonts w:ascii="Calibri" w:hAnsi="Calibri" w:cs="Calibri"/>
                <w:b/>
                <w:sz w:val="22"/>
                <w:szCs w:val="24"/>
              </w:rPr>
              <w:t>B</w:t>
            </w:r>
          </w:p>
          <w:p w14:paraId="6EEF616D" w14:textId="77777777" w:rsidR="005211CE" w:rsidRDefault="005211CE" w:rsidP="005211CE">
            <w:pPr>
              <w:jc w:val="center"/>
            </w:pPr>
            <w:r w:rsidRPr="005211CE">
              <w:rPr>
                <w:rFonts w:ascii="Calibri" w:hAnsi="Calibri" w:cs="Calibri"/>
                <w:b/>
                <w:szCs w:val="24"/>
              </w:rPr>
              <w:t>Anvendelse</w:t>
            </w:r>
          </w:p>
        </w:tc>
        <w:tc>
          <w:tcPr>
            <w:tcW w:w="2262" w:type="dxa"/>
            <w:vAlign w:val="center"/>
          </w:tcPr>
          <w:p w14:paraId="707993FF" w14:textId="77777777" w:rsidR="005211CE" w:rsidRPr="005211CE" w:rsidRDefault="005211CE" w:rsidP="005211CE">
            <w:pPr>
              <w:pStyle w:val="Body1"/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5211CE">
              <w:rPr>
                <w:rFonts w:ascii="Calibri" w:hAnsi="Calibri" w:cs="Calibri"/>
                <w:b/>
                <w:sz w:val="22"/>
                <w:szCs w:val="24"/>
              </w:rPr>
              <w:t>C</w:t>
            </w:r>
          </w:p>
          <w:p w14:paraId="032F9227" w14:textId="77777777" w:rsidR="005211CE" w:rsidRDefault="005211CE" w:rsidP="005211CE">
            <w:pPr>
              <w:jc w:val="center"/>
            </w:pPr>
            <w:r w:rsidRPr="005211CE">
              <w:rPr>
                <w:rFonts w:ascii="Calibri" w:hAnsi="Calibri" w:cs="Calibri"/>
                <w:b/>
                <w:szCs w:val="24"/>
              </w:rPr>
              <w:t>Analyse, syntese, evaluering</w:t>
            </w:r>
          </w:p>
        </w:tc>
      </w:tr>
      <w:tr w:rsidR="005211CE" w14:paraId="777AE073" w14:textId="77777777" w:rsidTr="005211CE">
        <w:trPr>
          <w:trHeight w:val="3651"/>
        </w:trPr>
        <w:tc>
          <w:tcPr>
            <w:tcW w:w="846" w:type="dxa"/>
            <w:vMerge w:val="restart"/>
            <w:textDirection w:val="btLr"/>
          </w:tcPr>
          <w:p w14:paraId="1AE58C53" w14:textId="77777777" w:rsidR="00B44694" w:rsidRDefault="005211CE" w:rsidP="00B44694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</w:rPr>
            </w:pPr>
            <w:r w:rsidRPr="00B44694">
              <w:rPr>
                <w:rFonts w:ascii="Calibri" w:hAnsi="Calibri" w:cs="Calibri"/>
                <w:b/>
                <w:sz w:val="24"/>
              </w:rPr>
              <w:t xml:space="preserve">Det vigtige: Forholde sig til, hvilken eller hvilke synsvinkler der er </w:t>
            </w:r>
          </w:p>
          <w:p w14:paraId="41428E9D" w14:textId="24278351" w:rsidR="005211CE" w:rsidRPr="00B44694" w:rsidRDefault="005211CE" w:rsidP="00B44694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</w:rPr>
            </w:pPr>
            <w:r w:rsidRPr="00B44694">
              <w:rPr>
                <w:rFonts w:ascii="Calibri" w:hAnsi="Calibri" w:cs="Calibri"/>
                <w:b/>
                <w:sz w:val="24"/>
              </w:rPr>
              <w:t>relevante i forhold til det foreliggende emne eller problem</w:t>
            </w:r>
          </w:p>
        </w:tc>
        <w:tc>
          <w:tcPr>
            <w:tcW w:w="1843" w:type="dxa"/>
          </w:tcPr>
          <w:p w14:paraId="3165EA10" w14:textId="77777777" w:rsidR="005211CE" w:rsidRPr="005211CE" w:rsidRDefault="005211CE" w:rsidP="005211CE">
            <w:r w:rsidRPr="005211CE">
              <w:rPr>
                <w:rFonts w:ascii="Calibri" w:hAnsi="Calibri" w:cs="Calibri"/>
                <w:b/>
                <w:szCs w:val="24"/>
              </w:rPr>
              <w:t>Den intellektuelle synsvinkel</w:t>
            </w:r>
          </w:p>
        </w:tc>
        <w:tc>
          <w:tcPr>
            <w:tcW w:w="2268" w:type="dxa"/>
          </w:tcPr>
          <w:p w14:paraId="59771F79" w14:textId="089E568A" w:rsidR="005211CE" w:rsidRPr="00D1641D" w:rsidRDefault="005211CE" w:rsidP="00EE6EA8">
            <w:pPr>
              <w:pStyle w:val="Body1"/>
              <w:rPr>
                <w:rFonts w:ascii="Calibri" w:hAnsi="Calibri" w:cs="Calibri"/>
                <w:color w:val="FF0000"/>
                <w:sz w:val="22"/>
                <w:szCs w:val="24"/>
              </w:rPr>
            </w:pPr>
          </w:p>
        </w:tc>
        <w:tc>
          <w:tcPr>
            <w:tcW w:w="2409" w:type="dxa"/>
          </w:tcPr>
          <w:p w14:paraId="354A87DF" w14:textId="3D6AA0BC" w:rsidR="005211CE" w:rsidRDefault="005211CE" w:rsidP="00EE6EA8">
            <w:pPr>
              <w:pStyle w:val="Body1"/>
            </w:pPr>
          </w:p>
        </w:tc>
        <w:tc>
          <w:tcPr>
            <w:tcW w:w="2262" w:type="dxa"/>
          </w:tcPr>
          <w:p w14:paraId="7970CD24" w14:textId="3EA51367" w:rsidR="005211CE" w:rsidRPr="00D1641D" w:rsidRDefault="005211CE" w:rsidP="00EE6EA8">
            <w:pPr>
              <w:pStyle w:val="Body1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5211CE" w14:paraId="5C7B8BF5" w14:textId="77777777" w:rsidTr="005211CE">
        <w:trPr>
          <w:trHeight w:val="3402"/>
        </w:trPr>
        <w:tc>
          <w:tcPr>
            <w:tcW w:w="846" w:type="dxa"/>
            <w:vMerge/>
          </w:tcPr>
          <w:p w14:paraId="40019E14" w14:textId="77777777" w:rsidR="005211CE" w:rsidRDefault="005211CE" w:rsidP="005211CE"/>
        </w:tc>
        <w:tc>
          <w:tcPr>
            <w:tcW w:w="1843" w:type="dxa"/>
          </w:tcPr>
          <w:p w14:paraId="191A3A50" w14:textId="77777777" w:rsidR="005211CE" w:rsidRPr="005211CE" w:rsidRDefault="005211CE" w:rsidP="005211CE">
            <w:r w:rsidRPr="005211CE">
              <w:rPr>
                <w:rFonts w:ascii="Calibri" w:hAnsi="Calibri" w:cs="Calibri"/>
                <w:b/>
                <w:szCs w:val="24"/>
              </w:rPr>
              <w:t>Kommunikation</w:t>
            </w:r>
          </w:p>
        </w:tc>
        <w:tc>
          <w:tcPr>
            <w:tcW w:w="2268" w:type="dxa"/>
          </w:tcPr>
          <w:p w14:paraId="7ECFD91F" w14:textId="6500ECB0" w:rsidR="005211CE" w:rsidRPr="00D1641D" w:rsidRDefault="005211CE" w:rsidP="00EE6EA8">
            <w:pPr>
              <w:pStyle w:val="Body1"/>
              <w:rPr>
                <w:rFonts w:ascii="Calibri" w:hAnsi="Calibri" w:cs="Calibri"/>
                <w:color w:val="FF0000"/>
                <w:sz w:val="22"/>
              </w:rPr>
            </w:pPr>
          </w:p>
        </w:tc>
        <w:tc>
          <w:tcPr>
            <w:tcW w:w="2409" w:type="dxa"/>
          </w:tcPr>
          <w:p w14:paraId="57819D46" w14:textId="6F84FF97" w:rsidR="005211CE" w:rsidRPr="00D1641D" w:rsidRDefault="005211CE" w:rsidP="00EE6EA8">
            <w:pPr>
              <w:pStyle w:val="Body1"/>
              <w:rPr>
                <w:rFonts w:ascii="Calibri" w:hAnsi="Calibri" w:cs="Calibri"/>
                <w:color w:val="FF0000"/>
                <w:sz w:val="22"/>
              </w:rPr>
            </w:pPr>
          </w:p>
        </w:tc>
        <w:tc>
          <w:tcPr>
            <w:tcW w:w="2262" w:type="dxa"/>
          </w:tcPr>
          <w:p w14:paraId="7FEA5994" w14:textId="77777777" w:rsidR="005211CE" w:rsidRDefault="005211CE" w:rsidP="00EE6EA8">
            <w:pPr>
              <w:pStyle w:val="Body1"/>
            </w:pPr>
          </w:p>
        </w:tc>
      </w:tr>
      <w:tr w:rsidR="005211CE" w14:paraId="77A6B64E" w14:textId="77777777" w:rsidTr="005211CE">
        <w:trPr>
          <w:trHeight w:val="3368"/>
        </w:trPr>
        <w:tc>
          <w:tcPr>
            <w:tcW w:w="846" w:type="dxa"/>
            <w:vMerge/>
          </w:tcPr>
          <w:p w14:paraId="0AB52653" w14:textId="77777777" w:rsidR="005211CE" w:rsidRDefault="005211CE" w:rsidP="005211CE"/>
        </w:tc>
        <w:tc>
          <w:tcPr>
            <w:tcW w:w="1843" w:type="dxa"/>
          </w:tcPr>
          <w:p w14:paraId="628BFC57" w14:textId="77777777" w:rsidR="005211CE" w:rsidRPr="005211CE" w:rsidRDefault="005211CE" w:rsidP="005211CE">
            <w:pPr>
              <w:pStyle w:val="Body1"/>
              <w:rPr>
                <w:rFonts w:ascii="Calibri" w:hAnsi="Calibri" w:cs="Calibri"/>
                <w:b/>
                <w:szCs w:val="24"/>
              </w:rPr>
            </w:pPr>
            <w:r w:rsidRPr="005211CE">
              <w:rPr>
                <w:rFonts w:ascii="Calibri" w:hAnsi="Calibri" w:cs="Calibri"/>
                <w:b/>
                <w:sz w:val="22"/>
                <w:szCs w:val="24"/>
              </w:rPr>
              <w:t>Den metodisk og kreativt skabende synsvinkel</w:t>
            </w:r>
          </w:p>
        </w:tc>
        <w:tc>
          <w:tcPr>
            <w:tcW w:w="2268" w:type="dxa"/>
          </w:tcPr>
          <w:p w14:paraId="3344A7E8" w14:textId="5C4E3406" w:rsidR="005211CE" w:rsidRDefault="005211CE" w:rsidP="00EE6EA8">
            <w:pPr>
              <w:pStyle w:val="Body1"/>
            </w:pPr>
          </w:p>
        </w:tc>
        <w:tc>
          <w:tcPr>
            <w:tcW w:w="2409" w:type="dxa"/>
          </w:tcPr>
          <w:p w14:paraId="17CAEFC5" w14:textId="3F2EA0DF" w:rsidR="005211CE" w:rsidRDefault="005211CE" w:rsidP="00EE6EA8">
            <w:pPr>
              <w:pStyle w:val="Body1"/>
            </w:pPr>
          </w:p>
        </w:tc>
        <w:tc>
          <w:tcPr>
            <w:tcW w:w="2262" w:type="dxa"/>
          </w:tcPr>
          <w:p w14:paraId="4FF4A690" w14:textId="7ADE6AEB" w:rsidR="005211CE" w:rsidRDefault="005211CE" w:rsidP="00EE6EA8">
            <w:pPr>
              <w:pStyle w:val="Body1"/>
            </w:pPr>
          </w:p>
        </w:tc>
      </w:tr>
      <w:tr w:rsidR="005211CE" w14:paraId="20009474" w14:textId="77777777" w:rsidTr="005211CE">
        <w:trPr>
          <w:trHeight w:val="1729"/>
        </w:trPr>
        <w:tc>
          <w:tcPr>
            <w:tcW w:w="846" w:type="dxa"/>
            <w:vMerge/>
          </w:tcPr>
          <w:p w14:paraId="51ACBFED" w14:textId="77777777" w:rsidR="005211CE" w:rsidRDefault="005211CE" w:rsidP="005211CE"/>
        </w:tc>
        <w:tc>
          <w:tcPr>
            <w:tcW w:w="1843" w:type="dxa"/>
          </w:tcPr>
          <w:p w14:paraId="6B4BCF05" w14:textId="77777777" w:rsidR="005211CE" w:rsidRPr="008A6E22" w:rsidRDefault="005211CE" w:rsidP="005211CE">
            <w:pPr>
              <w:pStyle w:val="Body1"/>
              <w:rPr>
                <w:rFonts w:ascii="Calibri" w:hAnsi="Calibri" w:cs="Calibri"/>
                <w:b/>
                <w:sz w:val="28"/>
                <w:szCs w:val="24"/>
              </w:rPr>
            </w:pPr>
            <w:r w:rsidRPr="005211CE">
              <w:rPr>
                <w:rFonts w:ascii="Calibri" w:hAnsi="Calibri" w:cs="Calibri"/>
                <w:b/>
                <w:sz w:val="22"/>
                <w:szCs w:val="24"/>
              </w:rPr>
              <w:t>Den personlige og sociale synsvinkel</w:t>
            </w:r>
          </w:p>
        </w:tc>
        <w:tc>
          <w:tcPr>
            <w:tcW w:w="2268" w:type="dxa"/>
          </w:tcPr>
          <w:p w14:paraId="2085FCE8" w14:textId="41B8A664" w:rsidR="005211CE" w:rsidRDefault="005211CE" w:rsidP="00EE6EA8">
            <w:pPr>
              <w:pStyle w:val="Body1"/>
            </w:pPr>
          </w:p>
        </w:tc>
        <w:tc>
          <w:tcPr>
            <w:tcW w:w="2409" w:type="dxa"/>
          </w:tcPr>
          <w:p w14:paraId="04785FCB" w14:textId="63D42F41" w:rsidR="005211CE" w:rsidRDefault="005211CE" w:rsidP="00EE6EA8">
            <w:pPr>
              <w:pStyle w:val="Body1"/>
            </w:pPr>
          </w:p>
        </w:tc>
        <w:tc>
          <w:tcPr>
            <w:tcW w:w="2262" w:type="dxa"/>
          </w:tcPr>
          <w:p w14:paraId="202AAB76" w14:textId="5E25C427" w:rsidR="005211CE" w:rsidRDefault="005211CE" w:rsidP="00EE6EA8">
            <w:pPr>
              <w:pStyle w:val="Body1"/>
            </w:pPr>
          </w:p>
        </w:tc>
      </w:tr>
    </w:tbl>
    <w:p w14:paraId="514BDDA9" w14:textId="77777777" w:rsidR="0061783F" w:rsidRDefault="0061783F" w:rsidP="005211CE"/>
    <w:sectPr w:rsidR="006178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CE"/>
    <w:rsid w:val="005211CE"/>
    <w:rsid w:val="0061783F"/>
    <w:rsid w:val="007021CF"/>
    <w:rsid w:val="00B44694"/>
    <w:rsid w:val="00B6674B"/>
    <w:rsid w:val="00EE6EA8"/>
    <w:rsid w:val="00F0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2E4D"/>
  <w15:chartTrackingRefBased/>
  <w15:docId w15:val="{22FCD2E4-F3D0-4814-ACF3-B22E11B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5211C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Winther Jensen</dc:creator>
  <cp:keywords/>
  <dc:description/>
  <cp:lastModifiedBy>Gitte Mariager</cp:lastModifiedBy>
  <cp:revision>2</cp:revision>
  <cp:lastPrinted>2019-11-26T09:51:00Z</cp:lastPrinted>
  <dcterms:created xsi:type="dcterms:W3CDTF">2019-12-06T11:32:00Z</dcterms:created>
  <dcterms:modified xsi:type="dcterms:W3CDTF">2019-12-06T11:32:00Z</dcterms:modified>
</cp:coreProperties>
</file>